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Licence to Publish and Author Declaration</w:t>
      </w:r>
    </w:p>
    <w:p>
      <w:pPr>
        <w:pBdr>
          <w:bottom w:val="single" w:sz="12" w:space="6" w:color="7A1F2E"/>
        </w:pBdr>
        <w:spacing w:after="240"/>
      </w:pPr>
      <w:r>
        <w:rPr>
          <w:color w:val="6B6F78"/>
        </w:rPr>
        <w:t xml:space="preserve">Copyright remains with the authors · CC BY 4.0</w:t>
      </w:r>
    </w:p>
    <w:p>
      <w:pPr>
        <w:pStyle w:val="Intro"/>
      </w:pPr>
      <w:r>
        <w:t xml:space="preserve">Authors retain the copyright of their article. This form records the licence to publish and the authors' declarations about the manuscript.</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Manuscript title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Manuscript number</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Article type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All authors, in the order of the title page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Corresponding author (name, e-mail, ORCID iD)</w:t>
            </w:r>
          </w:p>
        </w:tc>
        <w:tc>
          <w:tcPr>
            <w:tcW w:w="6746" w:type="dxa"/>
          </w:tcPr>
          <w:p>
            <w:pPr>
              <w:pStyle w:val="TableText"/>
            </w:pPr>
            <w:r>
              <w:rPr>
                <w:i/>
                <w:color w:val="C00000"/>
              </w:rPr>
              <w:t xml:space="preserve">[ ]</w:t>
            </w:r>
          </w:p>
        </w:tc>
      </w:tr>
    </w:tbl>
    <w:p/>
    <w:p>
      <w:pPr>
        <w:pStyle w:val="Guidance"/>
      </w:pPr>
      <w:r>
        <w:rPr>
          <w:b/>
          <w:color w:val="7A1F2E"/>
          <w:sz w:val="16"/>
        </w:rPr>
        <w:t xml:space="preserve">GUIDANCE  </w:t>
      </w:r>
      <w:r>
        <w:rPr>
          <w:i/>
          <w:color w:val="6B6F78"/>
        </w:rPr>
        <w:t xml:space="preserve">Sign this agreement after the manuscript has been accepted. The corresponding author signs on behalf of all authors; co-authors may also sign the optional table at the end.</w:t>
      </w:r>
    </w:p>
    <w:p>
      <w:pPr>
        <w:pStyle w:val="Heading2"/>
      </w:pPr>
      <w:r>
        <w:t xml:space="preserve">1. Parties and scope</w:t>
      </w:r>
    </w:p>
    <w:p>
      <w:r>
        <w:t xml:space="preserve">This agreement is made between the author or authors of the article named above (“the Authors”), represented by the corresponding author, and Hayriye Zehra Ulutaş, Alaattin Mah. 30. Ada Sok. D11 Blok No:4, Güngör Uydukent Sitesi, 31000 Antakya, Hatay, Türkiye, the publisher of The Ulutas Medical Journal (“the Publisher”). It covers the article as accepted for publication, including its abstract, tables, figures, videos and supplementary material (“the Article”). It takes effect when the Article is accepted. If the Article is not published in the journal, this agreement ends and no rights pass to the Publisher.</w:t>
      </w:r>
    </w:p>
    <w:p>
      <w:pPr>
        <w:pStyle w:val="Heading2"/>
      </w:pPr>
      <w:r>
        <w:t xml:space="preserve">2. Copyright remains with the Authors</w:t>
      </w:r>
    </w:p>
    <w:p>
      <w:r>
        <w:t xml:space="preserve">The Authors keep the copyright in the Article without restriction. The Article is published with the notice “© The Author(s) </w:t>
      </w:r>
      <w:r>
        <w:rPr>
          <w:i/>
          <w:color w:val="C00000"/>
        </w:rPr>
        <w:t xml:space="preserve">[year of publication]</w:t>
      </w:r>
      <w:r>
        <w:t xml:space="preserve">”. Nothing in this agreement transfers copyright to the Publisher.</w:t>
      </w:r>
    </w:p>
    <w:p>
      <w:pPr>
        <w:pStyle w:val="Heading2"/>
      </w:pPr>
      <w:r>
        <w:t xml:space="preserve">3. Non-exclusive licence to the Publisher</w:t>
      </w:r>
    </w:p>
    <w:p>
      <w:r>
        <w:t xml:space="preserve">The Authors grant the Publisher a non-exclusive, worldwide, royalty-free and irrevocable licence to publish the Article and to reproduce, distribute, display, store, archive and make it available in print, online and in any other form or medium; to translate it or allow translations; to supply its metadata and full text to indexing, abstracting, archiving and preservation services; to make corrections required by the editorial process; and to identify itself as the original publisher. Because the licence is non-exclusive, the Authors remain free to use the Article as they wish (section 5).</w:t>
      </w:r>
    </w:p>
    <w:p>
      <w:pPr>
        <w:pStyle w:val="Heading2"/>
      </w:pPr>
      <w:r>
        <w:t xml:space="preserve">4. Open access licence (CC BY 4.0)</w:t>
      </w:r>
    </w:p>
    <w:p>
      <w:r>
        <w:t xml:space="preserve">The Publisher publishes the Article open access, free of charge to readers, under the Creative Commons Attribution 4.0 International License (CC BY 4.0), which applies to articles published from Volume 12, Issue 3 (September 2026) onwards. Anyone may copy, redistribute, remix, transform and build upon the Article for any purpose, including commercial use, provided that appropriate credit is given to the Authors and to the original publication in the journal, a link to the licence is provided, and any changes are indicated.</w:t>
      </w:r>
    </w:p>
    <w:p>
      <w:hyperlink r:id="rIdL0">
        <w:r>
          <w:rPr>
            <w:rStyle w:val="Hyperlink"/>
          </w:rPr>
          <w:t xml:space="preserve">Licence text: https://creativecommons.org/licenses/by/4.0/</w:t>
        </w:r>
      </w:hyperlink>
    </w:p>
    <w:p>
      <w:pPr>
        <w:pStyle w:val="Heading2"/>
      </w:pPr>
      <w:r>
        <w:t xml:space="preserve">5. The Authors' own use and self-archiving</w:t>
      </w:r>
    </w:p>
    <w:p>
      <w:r>
        <w:t xml:space="preserve">The Authors may reuse the Article in any way permitted by the licence, including in teaching, theses, books and later work. They may deposit any version (submitted version or preprint, accepted manuscript and published version) in institutional or subject repositories, on personal websites and in funder archives, without embargo, with a reference to the original publication and a link to the published article (DOI).</w:t>
      </w:r>
    </w:p>
    <w:p>
      <w:pPr>
        <w:pStyle w:val="Heading2"/>
      </w:pPr>
      <w:r>
        <w:t xml:space="preserve">6. Moral rights</w:t>
      </w:r>
    </w:p>
    <w:p>
      <w:r>
        <w:t xml:space="preserve">The Authors keep their moral rights, including the right to be named as the authors of the Article and to object to any distortion of it, as recognised by the Law on Intellectual and Artistic Works of the Republic of Türkiye (Law No. 5846) and the Berne Convention. The Publisher will always attribute the Article to the Authors and will not change its scientific content without their approval, except for corrections, notices and retractions under section 9.</w:t>
      </w:r>
    </w:p>
    <w:p>
      <w:pPr>
        <w:pStyle w:val="Heading2"/>
      </w:pPr>
      <w:r>
        <w:t xml:space="preserve">7. The Authors' warranties</w:t>
      </w:r>
    </w:p>
    <w:p>
      <w:r>
        <w:t xml:space="preserve">The corresponding author, on behalf of each author, confirms that, to the best of the Authors' knowledge:</w:t>
      </w:r>
    </w:p>
    <w:p>
      <w:pPr>
        <w:pStyle w:val="ListItem"/>
      </w:pPr>
      <w:r>
        <w:rPr>
          <w:rFonts w:ascii="Segoe UI Symbol" w:hAnsi="Segoe UI Symbol" w:cs="Segoe UI Symbol"/>
        </w:rPr>
        <w:t xml:space="preserve">☐</w:t>
      </w:r>
      <w:r>
        <w:tab/>
      </w:r>
      <w:r>
        <w:t xml:space="preserve">the Article is the Authors' original work and does not infringe any copyright, licence, confidentiality obligation or other right of any person;</w:t>
      </w:r>
    </w:p>
    <w:p>
      <w:pPr>
        <w:pStyle w:val="ListItem"/>
      </w:pPr>
      <w:r>
        <w:rPr>
          <w:rFonts w:ascii="Segoe UI Symbol" w:hAnsi="Segoe UI Symbol" w:cs="Segoe UI Symbol"/>
        </w:rPr>
        <w:t xml:space="preserve">☐</w:t>
      </w:r>
      <w:r>
        <w:tab/>
      </w:r>
      <w:r>
        <w:t xml:space="preserve">the Article has not been published before and is not under consideration by another journal (a preprint, if any, has been declared to the editors);</w:t>
      </w:r>
    </w:p>
    <w:p>
      <w:pPr>
        <w:pStyle w:val="ListItem"/>
      </w:pPr>
      <w:r>
        <w:rPr>
          <w:rFonts w:ascii="Segoe UI Symbol" w:hAnsi="Segoe UI Symbol" w:cs="Segoe UI Symbol"/>
        </w:rPr>
        <w:t xml:space="preserve">☐</w:t>
      </w:r>
      <w:r>
        <w:tab/>
      </w:r>
      <w:r>
        <w:t xml:space="preserve">the Authors have the right to enter into this agreement; where an employer, institution or funder holds rights in the Article, its permission has been obtained;</w:t>
      </w:r>
    </w:p>
    <w:p>
      <w:pPr>
        <w:pStyle w:val="ListItem"/>
      </w:pPr>
      <w:r>
        <w:rPr>
          <w:rFonts w:ascii="Segoe UI Symbol" w:hAnsi="Segoe UI Symbol" w:cs="Segoe UI Symbol"/>
        </w:rPr>
        <w:t xml:space="preserve">☐</w:t>
      </w:r>
      <w:r>
        <w:tab/>
      </w:r>
      <w:r>
        <w:t xml:space="preserve">written permission has been obtained for any third-party material (such as figures, tables or text taken from other sources), the source is credited, and material that cannot be published under CC BY 4.0 is clearly marked with its own licence;</w:t>
      </w:r>
    </w:p>
    <w:p>
      <w:pPr>
        <w:pStyle w:val="ListItem"/>
      </w:pPr>
      <w:r>
        <w:rPr>
          <w:rFonts w:ascii="Segoe UI Symbol" w:hAnsi="Segoe UI Symbol" w:cs="Segoe UI Symbol"/>
        </w:rPr>
        <w:t xml:space="preserve">☐</w:t>
      </w:r>
      <w:r>
        <w:tab/>
      </w:r>
      <w:r>
        <w:t xml:space="preserve">the research was approved by the ethics committee named in the manuscript (or approval was not required, as stated), informed consent was obtained from the participants, and written consent for publication was obtained from every patient whose details, images or videos appear in the Article;</w:t>
      </w:r>
    </w:p>
    <w:p>
      <w:pPr>
        <w:pStyle w:val="ListItem"/>
      </w:pPr>
      <w:r>
        <w:rPr>
          <w:rFonts w:ascii="Segoe UI Symbol" w:hAnsi="Segoe UI Symbol" w:cs="Segoe UI Symbol"/>
        </w:rPr>
        <w:t xml:space="preserve">☐</w:t>
      </w:r>
      <w:r>
        <w:tab/>
      </w:r>
      <w:r>
        <w:t xml:space="preserve">the data and results are accurate and have not been fabricated, falsified or inappropriately manipulated;</w:t>
      </w:r>
    </w:p>
    <w:p>
      <w:pPr>
        <w:pStyle w:val="ListItem"/>
      </w:pPr>
      <w:r>
        <w:rPr>
          <w:rFonts w:ascii="Segoe UI Symbol" w:hAnsi="Segoe UI Symbol" w:cs="Segoe UI Symbol"/>
        </w:rPr>
        <w:t xml:space="preserve">☐</w:t>
      </w:r>
      <w:r>
        <w:tab/>
      </w:r>
      <w:r>
        <w:t xml:space="preserve">all conflicts of interest and all sources of funding have been disclosed;</w:t>
      </w:r>
    </w:p>
    <w:p>
      <w:pPr>
        <w:pStyle w:val="ListItem"/>
      </w:pPr>
      <w:r>
        <w:rPr>
          <w:rFonts w:ascii="Segoe UI Symbol" w:hAnsi="Segoe UI Symbol" w:cs="Segoe UI Symbol"/>
        </w:rPr>
        <w:t xml:space="preserve">☐</w:t>
      </w:r>
      <w:r>
        <w:tab/>
      </w:r>
      <w:r>
        <w:t xml:space="preserve">every author meets the ICMJE authorship criteria, has approved the final version, and agrees with the order of authors;</w:t>
      </w:r>
    </w:p>
    <w:p>
      <w:pPr>
        <w:pStyle w:val="ListItem"/>
      </w:pPr>
      <w:r>
        <w:rPr>
          <w:rFonts w:ascii="Segoe UI Symbol" w:hAnsi="Segoe UI Symbol" w:cs="Segoe UI Symbol"/>
        </w:rPr>
        <w:t xml:space="preserve">☐</w:t>
      </w:r>
      <w:r>
        <w:tab/>
      </w:r>
      <w:r>
        <w:t xml:space="preserve">any use of generative AI tools has been disclosed, and no AI tool is listed as an author;</w:t>
      </w:r>
    </w:p>
    <w:p>
      <w:pPr>
        <w:pStyle w:val="ListItem"/>
      </w:pPr>
      <w:r>
        <w:rPr>
          <w:rFonts w:ascii="Segoe UI Symbol" w:hAnsi="Segoe UI Symbol" w:cs="Segoe UI Symbol"/>
        </w:rPr>
        <w:t xml:space="preserve">☐</w:t>
      </w:r>
      <w:r>
        <w:tab/>
      </w:r>
      <w:r>
        <w:t xml:space="preserve">the Article contains nothing unlawful, defamatory or in breach of privacy or confidentiality.</w:t>
      </w:r>
    </w:p>
    <w:p>
      <w:pPr>
        <w:pStyle w:val="Heading2"/>
      </w:pPr>
      <w:r>
        <w:t xml:space="preserve">8. Responsibility for the warranties</w:t>
      </w:r>
    </w:p>
    <w:p>
      <w:r>
        <w:t xml:space="preserve">The Authors are responsible for the accuracy of these warranties. If a warranty proves to be untrue, the Authors will cooperate with the Publisher to put the matter right (for example by a correction or retraction). The Authors will compensate the Publisher only for direct losses caused by a breach of these warranties for which they are responsible. This does not cover losses caused by the Publisher's own fault or by changes the Publisher made without the Authors' approval, and it does not limit any liability that cannot be limited by law.</w:t>
      </w:r>
    </w:p>
    <w:p>
      <w:pPr>
        <w:pStyle w:val="Heading2"/>
      </w:pPr>
      <w:r>
        <w:t xml:space="preserve">9. Corrections, expressions of concern and retractions</w:t>
      </w:r>
    </w:p>
    <w:p>
      <w:r>
        <w:t xml:space="preserve">The published Article is the version of record. The Publisher and the editors may publish a correction, an expression of concern or a retraction, following the guidelines of the Committee on Publication Ethics (COPE) and the journal's policy on corrections and retractions. A retracted article stays available, clearly marked, with the retraction notice. Content may be removed only where the law requires it or where it poses a serious risk to health or privacy, and a notice explaining the removal is then published. The Authors agree to cooperate promptly with any such procedure and to tell the editors about any error they discover.</w:t>
      </w:r>
    </w:p>
    <w:p>
      <w:pPr>
        <w:pStyle w:val="Heading2"/>
      </w:pPr>
      <w:r>
        <w:t xml:space="preserve">10. Publication charge and personal data</w:t>
      </w:r>
    </w:p>
    <w:p>
      <w:r>
        <w:t xml:space="preserve">There is currently no article processing charge (APC): publishing in the journal is free of charge for the Authors. Should the journal introduce a charge in the future, it will be announced in advance and will not apply to manuscripts submitted before the change; a charge would never affect the editorial decision or this licence. The Authors' names, affiliations and ORCID iDs, and the corresponding author's e-mail address, are published with the Article and in its metadata. Personal data are processed as described in the journal's Privacy Policy, in line with the Turkish Personal Data Protection Law (Law No. 6698, KVKK) and, where it applies, the EU General Data Protection Regulation (GDPR).</w:t>
      </w:r>
    </w:p>
    <w:p>
      <w:pPr>
        <w:pStyle w:val="Heading2"/>
      </w:pPr>
      <w:r>
        <w:t xml:space="preserve">11. Signing on behalf of all authors</w:t>
      </w:r>
    </w:p>
    <w:p>
      <w:r>
        <w:t xml:space="preserve">The corresponding author signs this agreement on behalf of all authors and confirms that every co-author has read it and has authorised the corresponding author to sign it for them.</w:t>
      </w:r>
    </w:p>
    <w:p>
      <w:pPr>
        <w:pStyle w:val="Heading2"/>
      </w:pPr>
      <w:r>
        <w:t xml:space="preserve">Signature of the corresponding author (on behalf of all authors)</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Name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ORCID iD</w:t>
            </w:r>
          </w:p>
        </w:tc>
        <w:tc>
          <w:tcPr>
            <w:tcW w:w="6746" w:type="dxa"/>
          </w:tcPr>
          <w:p>
            <w:pPr>
              <w:pStyle w:val="TableText"/>
            </w:pPr>
            <w:r>
              <w:rPr>
                <w:i/>
                <w:color w:val="C00000"/>
              </w:rPr>
              <w:t xml:space="preserve">[0000-0000-0000-0000]</w:t>
            </w:r>
          </w:p>
        </w:tc>
      </w:tr>
      <w:tr>
        <w:trPr>
          <w:cantSplit/>
        </w:trPr>
        <w:tc>
          <w:tcPr>
            <w:tcW w:w="2891" w:type="dxa"/>
            <w:shd w:val="clear" w:color="auto" w:fill="F2E9EA"/>
          </w:tcPr>
          <w:p>
            <w:pPr>
              <w:pStyle w:val="TableText"/>
            </w:pPr>
            <w:r>
              <w:rPr>
                <w:b/>
              </w:rPr>
              <w:t xml:space="preserve">Signature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Date</w:t>
            </w:r>
          </w:p>
        </w:tc>
        <w:tc>
          <w:tcPr>
            <w:tcW w:w="6746" w:type="dxa"/>
          </w:tcPr>
          <w:p>
            <w:pPr>
              <w:pStyle w:val="TableText"/>
            </w:pPr>
            <w:r>
              <w:rPr>
                <w:i/>
                <w:color w:val="C00000"/>
              </w:rPr>
              <w:t xml:space="preserve">[DD.MM.YYYY]</w:t>
            </w:r>
          </w:p>
        </w:tc>
      </w:tr>
    </w:tbl>
    <w:p/>
    <w:p>
      <w:pPr>
        <w:pStyle w:val="Heading2"/>
      </w:pPr>
      <w:r>
        <w:t xml:space="preserve">Co-authors (optional)</w:t>
      </w:r>
    </w:p>
    <w:p>
      <w:pPr>
        <w:pStyle w:val="Guidance"/>
      </w:pPr>
      <w:r>
        <w:rPr>
          <w:b/>
          <w:color w:val="7A1F2E"/>
          <w:sz w:val="16"/>
        </w:rPr>
        <w:t xml:space="preserve">GUIDANCE  </w:t>
      </w:r>
      <w:r>
        <w:rPr>
          <w:i/>
          <w:color w:val="6B6F78"/>
        </w:rPr>
        <w:t xml:space="preserve">Co-authors may also sign here. Add rows as needed.</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2313"/>
        <w:gridCol w:w="2891"/>
        <w:gridCol w:w="1542"/>
      </w:tblGrid>
      <w:tr>
        <w:trPr>
          <w:tblHeader/>
        </w:trPr>
        <w:tc>
          <w:tcPr>
            <w:tcW w:w="2891" w:type="dxa"/>
            <w:shd w:val="clear" w:color="auto" w:fill="7A1F2E"/>
          </w:tcPr>
          <w:p>
            <w:pPr>
              <w:pStyle w:val="TableText"/>
            </w:pPr>
            <w:r>
              <w:rPr>
                <w:b/>
                <w:color w:val="FFFFFF"/>
              </w:rPr>
              <w:t xml:space="preserve">Author name</w:t>
            </w:r>
          </w:p>
        </w:tc>
        <w:tc>
          <w:tcPr>
            <w:tcW w:w="2313" w:type="dxa"/>
            <w:shd w:val="clear" w:color="auto" w:fill="7A1F2E"/>
          </w:tcPr>
          <w:p>
            <w:pPr>
              <w:pStyle w:val="TableText"/>
            </w:pPr>
            <w:r>
              <w:rPr>
                <w:b/>
                <w:color w:val="FFFFFF"/>
              </w:rPr>
              <w:t xml:space="preserve">ORCID iD</w:t>
            </w:r>
          </w:p>
        </w:tc>
        <w:tc>
          <w:tcPr>
            <w:tcW w:w="2891" w:type="dxa"/>
            <w:shd w:val="clear" w:color="auto" w:fill="7A1F2E"/>
          </w:tcPr>
          <w:p>
            <w:pPr>
              <w:pStyle w:val="TableText"/>
            </w:pPr>
            <w:r>
              <w:rPr>
                <w:b/>
                <w:color w:val="FFFFFF"/>
              </w:rPr>
              <w:t xml:space="preserve">Signature (optional)</w:t>
            </w:r>
          </w:p>
        </w:tc>
        <w:tc>
          <w:tcPr>
            <w:tcW w:w="1542" w:type="dxa"/>
            <w:shd w:val="clear" w:color="auto" w:fill="7A1F2E"/>
          </w:tcPr>
          <w:p>
            <w:pPr>
              <w:pStyle w:val="TableText"/>
            </w:pPr>
            <w:r>
              <w:rPr>
                <w:b/>
                <w:color w:val="FFFFFF"/>
              </w:rPr>
              <w:t xml:space="preserve">Date</w:t>
            </w:r>
          </w:p>
        </w:tc>
      </w:tr>
      <w:tr>
        <w:trPr>
          <w:cantSplit/>
        </w:trPr>
        <w:tc>
          <w:tcPr>
            <w:tcW w:w="2891" w:type="dxa"/>
          </w:tcPr>
          <w:p>
            <w:pPr>
              <w:pStyle w:val="TableText"/>
            </w:pPr>
            <w:r>
              <w:rPr>
                <w:i/>
                <w:color w:val="C00000"/>
              </w:rPr>
              <w:t xml:space="preserve">[ ]</w:t>
            </w:r>
          </w:p>
        </w:tc>
        <w:tc>
          <w:tcPr>
            <w:tcW w:w="2313" w:type="dxa"/>
          </w:tcPr>
          <w:p>
            <w:pPr>
              <w:pStyle w:val="TableText"/>
            </w:pPr>
            <w:r>
              <w:rPr>
                <w:i/>
                <w:color w:val="C00000"/>
              </w:rPr>
              <w:t xml:space="preserve">[0000-0000-0000-0000]</w:t>
            </w:r>
          </w:p>
        </w:tc>
        <w:tc>
          <w:tcPr>
            <w:tcW w:w="2891" w:type="dxa"/>
          </w:tcPr>
          <w:p>
            <w:pPr>
              <w:pStyle w:val="TableText"/>
            </w:pPr>
          </w:p>
        </w:tc>
        <w:tc>
          <w:tcPr>
            <w:tcW w:w="1542" w:type="dxa"/>
          </w:tcPr>
          <w:p>
            <w:pPr>
              <w:pStyle w:val="TableText"/>
            </w:pPr>
            <w:r>
              <w:rPr>
                <w:i/>
                <w:color w:val="C00000"/>
              </w:rPr>
              <w:t xml:space="preserve">[DD.MM.YYYY]</w:t>
            </w:r>
          </w:p>
        </w:tc>
      </w:tr>
      <w:tr>
        <w:trPr>
          <w:cantSplit/>
        </w:trPr>
        <w:tc>
          <w:tcPr>
            <w:tcW w:w="2891" w:type="dxa"/>
          </w:tcPr>
          <w:p>
            <w:pPr>
              <w:pStyle w:val="TableText"/>
            </w:pPr>
            <w:r>
              <w:rPr>
                <w:i/>
                <w:color w:val="C00000"/>
              </w:rPr>
              <w:t xml:space="preserve">[ ]</w:t>
            </w:r>
          </w:p>
        </w:tc>
        <w:tc>
          <w:tcPr>
            <w:tcW w:w="2313" w:type="dxa"/>
          </w:tcPr>
          <w:p>
            <w:pPr>
              <w:pStyle w:val="TableText"/>
            </w:pPr>
            <w:r>
              <w:rPr>
                <w:i/>
                <w:color w:val="C00000"/>
              </w:rPr>
              <w:t xml:space="preserve">[0000-0000-0000-0000]</w:t>
            </w:r>
          </w:p>
        </w:tc>
        <w:tc>
          <w:tcPr>
            <w:tcW w:w="2891" w:type="dxa"/>
          </w:tcPr>
          <w:p>
            <w:pPr>
              <w:pStyle w:val="TableText"/>
            </w:pPr>
          </w:p>
        </w:tc>
        <w:tc>
          <w:tcPr>
            <w:tcW w:w="1542" w:type="dxa"/>
          </w:tcPr>
          <w:p>
            <w:pPr>
              <w:pStyle w:val="TableText"/>
            </w:pPr>
            <w:r>
              <w:rPr>
                <w:i/>
                <w:color w:val="C00000"/>
              </w:rPr>
              <w:t xml:space="preserve">[DD.MM.YYYY]</w:t>
            </w:r>
          </w:p>
        </w:tc>
      </w:tr>
      <w:tr>
        <w:trPr>
          <w:cantSplit/>
        </w:trPr>
        <w:tc>
          <w:tcPr>
            <w:tcW w:w="2891" w:type="dxa"/>
          </w:tcPr>
          <w:p>
            <w:pPr>
              <w:pStyle w:val="TableText"/>
            </w:pPr>
            <w:r>
              <w:rPr>
                <w:i/>
                <w:color w:val="C00000"/>
              </w:rPr>
              <w:t xml:space="preserve">[ ]</w:t>
            </w:r>
          </w:p>
        </w:tc>
        <w:tc>
          <w:tcPr>
            <w:tcW w:w="2313" w:type="dxa"/>
          </w:tcPr>
          <w:p>
            <w:pPr>
              <w:pStyle w:val="TableText"/>
            </w:pPr>
            <w:r>
              <w:rPr>
                <w:i/>
                <w:color w:val="C00000"/>
              </w:rPr>
              <w:t xml:space="preserve">[0000-0000-0000-0000]</w:t>
            </w:r>
          </w:p>
        </w:tc>
        <w:tc>
          <w:tcPr>
            <w:tcW w:w="2891" w:type="dxa"/>
          </w:tcPr>
          <w:p>
            <w:pPr>
              <w:pStyle w:val="TableText"/>
            </w:pPr>
          </w:p>
        </w:tc>
        <w:tc>
          <w:tcPr>
            <w:tcW w:w="1542" w:type="dxa"/>
          </w:tcPr>
          <w:p>
            <w:pPr>
              <w:pStyle w:val="TableText"/>
            </w:pPr>
            <w:r>
              <w:rPr>
                <w:i/>
                <w:color w:val="C00000"/>
              </w:rPr>
              <w:t xml:space="preserve">[DD.MM.YYYY]</w:t>
            </w:r>
          </w:p>
        </w:tc>
      </w:tr>
    </w:tbl>
    <w:p/>
    <w:sectPr>
      <w:headerReference w:type="default" r:id="rIdH"/>
      <w:footerReference w:type="default" r:id="rIdF"/>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D0D3D9"/>
      </w:pBdr>
      <w:tabs>
        <w:tab w:val="right" w:pos="9638"/>
      </w:tabs>
      <w:spacing w:after="0"/>
    </w:pPr>
    <w:r>
      <w:rPr>
        <w:b/>
        <w:color w:val="7A1F2E"/>
        <w:sz w:val="16"/>
      </w:rPr>
      <w:t xml:space="preserve">The Ulutas Medical Journal</w:t>
    </w:r>
    <w:r>
      <w:rPr>
        <w:color w:val="6B6F78"/>
        <w:sz w:val="16"/>
      </w:rPr>
      <w:t xml:space="preserve">  ·  Licence to Publish and Author Declaration</w:t>
    </w:r>
    <w:r>
      <w:tab/>
    </w:r>
    <w:r>
      <w:rPr>
        <w:color w:val="6B6F78"/>
        <w:sz w:val="16"/>
      </w:rPr>
      <w:t xml:space="preserve">Page </w:t>
    </w:r>
    <w:fldSimple w:instr=" PAGE ">
      <w:r>
        <w:rPr>
          <w:color w:val="6B6F78"/>
          <w:sz w:val="16"/>
        </w:rPr>
        <w:t>1</w:t>
      </w:r>
    </w:fldSimple>
    <w:r>
      <w:rPr>
        <w:color w:val="6B6F78"/>
        <w:sz w:val="16"/>
      </w:rPr>
      <w:t xml:space="preserve"> of </w:t>
    </w:r>
    <w:fldSimple w:instr=" NUMPAGES ">
      <w:r>
        <w:rPr>
          <w:color w:val="6B6F78"/>
          <w:sz w:val="16"/>
        </w:rP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638" w:type="dxa"/>
      <w:tblBorders>
        <w:top w:val="nil"/>
        <w:left w:val="nil"/>
        <w:bottom w:val="single" w:sz="8" w:space="0" w:color="7A1F2E"/>
        <w:right w:val="nil"/>
        <w:insideH w:val="nil"/>
        <w:insideV w:val="nil"/>
      </w:tblBorders>
      <w:tblLayout w:type="fixed"/>
      <w:tblCellMar>
        <w:left w:w="0" w:type="dxa"/>
        <w:bottom w:w="80" w:type="dxa"/>
        <w:right w:w="0" w:type="dxa"/>
      </w:tblCellMar>
    </w:tblPr>
    <w:tblGrid>
      <w:gridCol w:w="4819"/>
      <w:gridCol w:w="4819"/>
    </w:tblGrid>
    <w:tr>
      <w:tc>
        <w:tcPr>
          <w:tcW w:w="4819" w:type="dxa"/>
          <w:vAlign w:val="bottom"/>
        </w:tcPr>
        <w:p>
          <w:pPr>
            <w:spacing w:after="0"/>
          </w:pPr>
          <w:r>
            <w:drawing>
              <wp:inline distT="0" distB="0" distL="0" distR="0">
                <wp:extent cx="1512000" cy="469980"/>
                <wp:docPr id="1" name="Logo" descr="The Ulutas Medical Journal logo"/>
                <a:graphic>
                  <a:graphicData uri="http://schemas.openxmlformats.org/drawingml/2006/picture">
                    <pic:pic>
                      <pic:nvPicPr>
                        <pic:cNvPr id="1" name="logo"/>
                        <pic:cNvPicPr/>
                      </pic:nvPicPr>
                      <pic:blipFill>
                        <a:blip r:embed="rIdLogo"/>
                        <a:stretch>
                          <a:fillRect/>
                        </a:stretch>
                      </pic:blipFill>
                      <pic:spPr>
                        <a:xfrm>
                          <a:off x="0" y="0"/>
                          <a:ext cx="1512000" cy="469980"/>
                        </a:xfrm>
                        <a:prstGeom prst="rect">
                          <a:avLst/>
                        </a:prstGeom>
                      </pic:spPr>
                    </pic:pic>
                  </a:graphicData>
                </a:graphic>
              </wp:inline>
            </w:drawing>
          </w:r>
        </w:p>
      </w:tc>
      <w:tc>
        <w:tcPr>
          <w:tcW w:w="4819" w:type="dxa"/>
          <w:vAlign w:val="bottom"/>
        </w:tcPr>
        <w:p>
          <w:pPr>
            <w:spacing w:after="0" w:line="240" w:lineRule="auto"/>
            <w:jc w:val="right"/>
          </w:pPr>
          <w:r>
            <w:rPr>
              <w:b/>
              <w:caps/>
              <w:color w:val="7A1F2E"/>
              <w:spacing w:val="20"/>
              <w:sz w:val="16"/>
            </w:rPr>
            <w:t xml:space="preserve">The Ulutas Medical Journal</w:t>
          </w:r>
        </w:p>
        <w:p>
          <w:pPr>
            <w:spacing w:after="0" w:line="240" w:lineRule="auto"/>
            <w:jc w:val="right"/>
          </w:pPr>
          <w:r>
            <w:rPr>
              <w:color w:val="6B6F78"/>
              <w:sz w:val="15"/>
            </w:rPr>
            <w:t xml:space="preserve">ISSN 2149-0430 · e-ISSN 2149-388X</w:t>
          </w:r>
        </w:p>
        <w:p>
          <w:pPr>
            <w:spacing w:after="0" w:line="240" w:lineRule="auto"/>
            <w:jc w:val="right"/>
          </w:pPr>
          <w:r>
            <w:rPr>
              <w:color w:val="6B6F78"/>
              <w:sz w:val="15"/>
            </w:rPr>
            <w:t xml:space="preserve">editor-in-chief@ulutasmedicaljournal.com</w:t>
          </w:r>
        </w:p>
      </w:tc>
    </w:tr>
  </w:tbl>
  <w:p>
    <w:pPr>
      <w:spacing w:before="0" w:after="0" w:line="120" w:lineRule="exact"/>
      <w:rPr>
        <w:sz w:val="4"/>
      </w:rPr>
    </w:pPr>
  </w:p>
</w:hdr>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Times New Roman" w:hAnsi="Times New Roman" w:cs="Times New Roman" w:eastAsia="Times New Roman"/>
        <w:sz w:val="21"/>
        <w:szCs w:val="21"/>
        <w:lang w:val="en-GB"/>
      </w:rPr>
    </w:rPrDefault>
    <w:pPrDefault>
      <w:pPr>
        <w:spacing w:after="120" w:line="276" w:lineRule="auto"/>
      </w:pPr>
    </w:pPrDefault>
  </w:docDefaults>
  <w:style w:type="paragraph" w:styleId="Normal">
    <w:name w:val="Normal"/>
    <w:qFormat/>
  </w:style>
  <w:style w:type="paragraph" w:styleId="Title">
    <w:name w:val="Title"/>
    <w:basedOn w:val="Normal"/>
    <w:qFormat/>
    <w:pPr>
      <w:spacing w:before="120" w:after="40" w:line="240" w:lineRule="auto"/>
    </w:pPr>
    <w:rPr>
      <w:b/>
      <w:smallCaps/>
      <w:color w:val="7A1F2E"/>
      <w:spacing w:val="20"/>
      <w:sz w:val="36"/>
      <w:szCs w:val="36"/>
    </w:rPr>
  </w:style>
  <w:style w:type="paragraph" w:styleId="Intro">
    <w:name w:val="Intro"/>
    <w:basedOn w:val="Normal"/>
    <w:qFormat/>
    <w:pPr>
      <w:spacing w:after="200"/>
    </w:pPr>
    <w:rPr>
      <w:color w:val="333840"/>
    </w:rPr>
  </w:style>
  <w:style w:type="paragraph" w:styleId="Heading1">
    <w:name w:val="heading 1"/>
    <w:basedOn w:val="Normal"/>
    <w:qFormat/>
    <w:pPr>
      <w:keepNext/>
      <w:spacing w:before="280" w:after="100"/>
      <w:outlineLvl w:val="0"/>
    </w:pPr>
    <w:rPr>
      <w:b/>
      <w:color w:val="7A1F2E"/>
      <w:sz w:val="25"/>
    </w:rPr>
  </w:style>
  <w:style w:type="paragraph" w:styleId="Heading2">
    <w:name w:val="heading 2"/>
    <w:basedOn w:val="Normal"/>
    <w:qFormat/>
    <w:pPr>
      <w:keepNext/>
      <w:spacing w:before="200" w:after="80"/>
      <w:outlineLvl w:val="1"/>
    </w:pPr>
    <w:rPr>
      <w:b/>
      <w:color w:val="7A1F2E"/>
      <w:sz w:val="22"/>
    </w:rPr>
  </w:style>
  <w:style w:type="paragraph" w:styleId="Guidance">
    <w:name w:val="Guidance"/>
    <w:basedOn w:val="Normal"/>
    <w:qFormat/>
    <w:pPr>
      <w:pBdr>
        <w:left w:val="single" w:sz="18" w:space="6" w:color="7A1F2E"/>
      </w:pBdr>
      <w:shd w:val="clear" w:color="auto" w:fill="F2E9EA"/>
      <w:spacing w:before="60" w:after="160" w:line="264" w:lineRule="auto"/>
      <w:ind w:left="170"/>
    </w:pPr>
    <w:rPr>
      <w:sz w:val="18"/>
    </w:rPr>
  </w:style>
  <w:style w:type="paragraph" w:styleId="ListItem">
    <w:name w:val="List item"/>
    <w:basedOn w:val="Normal"/>
    <w:qFormat/>
    <w:pPr>
      <w:tabs>
        <w:tab w:val="left" w:pos="397"/>
      </w:tabs>
      <w:spacing w:after="80"/>
      <w:ind w:left="397" w:hanging="397"/>
    </w:pPr>
  </w:style>
  <w:style w:type="paragraph" w:styleId="TableText">
    <w:name w:val="Table text"/>
    <w:basedOn w:val="Normal"/>
    <w:qFormat/>
    <w:pPr>
      <w:spacing w:after="0" w:line="252" w:lineRule="auto"/>
    </w:pPr>
    <w:rPr>
      <w:sz w:val="19"/>
    </w:rPr>
  </w:style>
  <w:style w:type="character" w:styleId="Hyperlink">
    <w:name w:val="Hyperlink"/>
    <w:qFormat/>
    <w:rPr>
      <w:color w:val="1F5FA8"/>
      <w:u w:val="single"/>
    </w:r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H" Type="http://schemas.openxmlformats.org/officeDocument/2006/relationships/header" Target="header1.xml"/><Relationship Id="rIdF" Type="http://schemas.openxmlformats.org/officeDocument/2006/relationships/footer" Target="footer1.xml"/><Relationship Id="rIdL0" Type="http://schemas.openxmlformats.org/officeDocument/2006/relationships/hyperlink" Target="https://creativecommons.org/licenses/by/4.0/"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core.xml><?xml version="1.0" encoding="utf-8"?>
<cp:coreProperties xmlns:cp="http://schemas.openxmlformats.org/package/2006/metadata/core-properties" xmlns:dc="http://purl.org/dc/elements/1.1/" xmlns:dcterms="http://purl.org/dc/terms/" xmlns:xsi="http://www.w3.org/2001/XMLSchema-instance">
  <dc:title>Licence to Publish and Author Declaration</dc:title>
  <dc:creator>The Ulutas Medical Journal</dc:creator>
  <cp:lastModifiedBy>The Ulutas Medical Journal</cp:lastModifiedBy>
  <dcterms:created xsi:type="dcterms:W3CDTF">2026-11-01T16:09:33Z</dcterms:created>
</cp:coreProperties>
</file>